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Siete (07)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B5585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55854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55854" w:rsidRPr="0045523E" w:rsidRDefault="00B5585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LABORATORIO AMBIENTAL</w:t>
            </w:r>
          </w:p>
          <w:p w:rsidR="00B55854" w:rsidRPr="0045523E" w:rsidRDefault="00B55854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las políticas institucionales, planes, programas y proyectos, para asegurar la calidad de los resultados de los ensayos de las variables ambientales, acorde con las normas vigentes, que propendan la sostenibilidad ambiental y de negocio, a través de los procesos del Sistema Integrado de Gestión.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B55854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Laboratorio Ambiental que sean de su competencia.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Laboratorio Ambiental.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 de la Corporación.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55854" w:rsidRPr="0045523E" w:rsidRDefault="00B5585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B55854" w:rsidRPr="0045523E" w:rsidRDefault="00B55854" w:rsidP="00651979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 w:rsidRPr="0045523E">
              <w:rPr>
                <w:rFonts w:ascii="Arial" w:hAnsi="Arial" w:cs="Arial"/>
                <w:color w:val="222222"/>
              </w:rPr>
              <w:t>Normas de requisitos generales  para competencia de los Laboratorios de ensayos (</w:t>
            </w:r>
            <w:proofErr w:type="spellStart"/>
            <w:r w:rsidRPr="0045523E">
              <w:rPr>
                <w:rFonts w:ascii="Arial" w:hAnsi="Arial" w:cs="Arial"/>
                <w:color w:val="222222"/>
              </w:rPr>
              <w:t>NTC</w:t>
            </w:r>
            <w:proofErr w:type="spellEnd"/>
            <w:r w:rsidRPr="0045523E">
              <w:rPr>
                <w:rFonts w:ascii="Arial" w:hAnsi="Arial" w:cs="Arial"/>
                <w:color w:val="222222"/>
              </w:rPr>
              <w:t xml:space="preserve"> ISO/</w:t>
            </w:r>
            <w:proofErr w:type="spellStart"/>
            <w:r w:rsidRPr="0045523E">
              <w:rPr>
                <w:rFonts w:ascii="Arial" w:hAnsi="Arial" w:cs="Arial"/>
                <w:color w:val="222222"/>
              </w:rPr>
              <w:t>IEC</w:t>
            </w:r>
            <w:proofErr w:type="spellEnd"/>
            <w:r w:rsidRPr="0045523E">
              <w:rPr>
                <w:rFonts w:ascii="Arial" w:hAnsi="Arial" w:cs="Arial"/>
                <w:color w:val="222222"/>
              </w:rPr>
              <w:t xml:space="preserve"> 17025).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 w:rsidRPr="0045523E">
              <w:rPr>
                <w:rFonts w:ascii="Arial" w:hAnsi="Arial" w:cs="Arial"/>
                <w:color w:val="222222"/>
              </w:rPr>
              <w:t>Norma ISO 10012, sistema  de gestión de la medición. Requisitos para los procesos de medición y los equipos  de medición.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 w:rsidRPr="0045523E">
              <w:rPr>
                <w:rFonts w:ascii="Arial" w:hAnsi="Arial" w:cs="Arial"/>
                <w:color w:val="222222"/>
              </w:rPr>
              <w:t xml:space="preserve">Vocabulario internacional de metrología - </w:t>
            </w:r>
            <w:proofErr w:type="spellStart"/>
            <w:r w:rsidRPr="0045523E">
              <w:rPr>
                <w:rFonts w:ascii="Arial" w:hAnsi="Arial" w:cs="Arial"/>
                <w:color w:val="222222"/>
              </w:rPr>
              <w:t>VIM</w:t>
            </w:r>
            <w:proofErr w:type="spellEnd"/>
            <w:r w:rsidRPr="0045523E">
              <w:rPr>
                <w:rFonts w:ascii="Arial" w:hAnsi="Arial" w:cs="Arial"/>
                <w:color w:val="222222"/>
              </w:rPr>
              <w:t xml:space="preserve"> - </w:t>
            </w:r>
            <w:proofErr w:type="spellStart"/>
            <w:r w:rsidRPr="0045523E">
              <w:rPr>
                <w:rFonts w:ascii="Arial" w:hAnsi="Arial" w:cs="Arial"/>
                <w:color w:val="222222"/>
              </w:rPr>
              <w:t>JCGM200</w:t>
            </w:r>
            <w:proofErr w:type="spellEnd"/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Protocolos de servicios.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B55854" w:rsidRPr="0045523E" w:rsidRDefault="00B55854" w:rsidP="00B55854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55854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55854" w:rsidRPr="0045523E" w:rsidTr="00651979">
        <w:trPr>
          <w:trHeight w:val="754"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del conocimiento en: Ingeniería Industrial, Ingeniería Ambiental y Afines, Ciencias Políticas, Relaciones Internacionales.</w:t>
            </w:r>
          </w:p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854" w:rsidRPr="0045523E" w:rsidRDefault="00B5585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  <w:p w:rsidR="00B55854" w:rsidRPr="0045523E" w:rsidRDefault="00B5585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55854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55854" w:rsidRPr="0045523E" w:rsidTr="00651979">
        <w:trPr>
          <w:trHeight w:val="318"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B55854" w:rsidRPr="0045523E" w:rsidRDefault="00B55854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  <w:p w:rsidR="00B55854" w:rsidRPr="0045523E" w:rsidRDefault="00B55854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B5585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B55854" w:rsidRPr="0045523E" w:rsidRDefault="00B5585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B5585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55854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55854" w:rsidRPr="0045523E" w:rsidRDefault="00B55854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B55854" w:rsidRPr="0045523E" w:rsidRDefault="00B5585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55854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B55854" w:rsidRPr="0045523E" w:rsidRDefault="00B55854" w:rsidP="00B558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B55854" w:rsidRDefault="00AD7522">
      <w:pPr>
        <w:rPr>
          <w:lang w:val="es-MX"/>
        </w:rPr>
      </w:pPr>
    </w:p>
    <w:sectPr w:rsidR="00AD7522" w:rsidRPr="00B55854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422C5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22C5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22C5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422C5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422C5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422C5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22C5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22C5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22C5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22C5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5585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5585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22C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22C5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422C5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422C51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422C5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22C5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E292C"/>
    <w:multiLevelType w:val="hybridMultilevel"/>
    <w:tmpl w:val="E0D6171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55854"/>
    <w:rsid w:val="000A1E27"/>
    <w:rsid w:val="00422C51"/>
    <w:rsid w:val="00735758"/>
    <w:rsid w:val="00A96899"/>
    <w:rsid w:val="00AD7522"/>
    <w:rsid w:val="00B55854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54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55854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5585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55854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5585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5854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55854"/>
  </w:style>
  <w:style w:type="character" w:customStyle="1" w:styleId="Ttulo1Car">
    <w:name w:val="Título 1 Car"/>
    <w:basedOn w:val="Fuentedeprrafopredeter"/>
    <w:link w:val="Ttulo1"/>
    <w:uiPriority w:val="9"/>
    <w:rsid w:val="00B55854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B55854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55854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5585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58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636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2015-11-11T17:23:00Z</dcterms:created>
  <dcterms:modified xsi:type="dcterms:W3CDTF">2015-11-11T17:25:00Z</dcterms:modified>
</cp:coreProperties>
</file>